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1x8ar2eo8uzb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2578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17100"/>
                          <a:ext cx="5885815" cy="525780"/>
                          <a:chOff x="2403075" y="3517100"/>
                          <a:chExt cx="5885825" cy="525800"/>
                        </a:xfrm>
                      </wpg:grpSpPr>
                      <wpg:grpSp>
                        <wpg:cNvGrpSpPr/>
                        <wpg:grpSpPr>
                          <a:xfrm>
                            <a:off x="2403093" y="3517110"/>
                            <a:ext cx="5885815" cy="525780"/>
                            <a:chOff x="2311653" y="3594580"/>
                            <a:chExt cx="6068695" cy="3844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8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84479"/>
                              <a:chOff x="0" y="0"/>
                              <a:chExt cx="6068695" cy="38447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0958" y="56382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de herramientas para la comunicación en situaciones de crisis.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2578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En situaciones de emergencia, la gestión de crisis requiere una comunicación planificada y eficaz para informar a la comunidad y a los equipos colaboradores sobre lo que sucede, las estrategias de respuesta y las consecuencias. Contar con un modelo de comunicación para la gestión es vital, ya que un adecuado manejo de la información y las estrategias de comunicación pueden mitigar el impacto de eventos negativos. Este curso busca brindar los conocimientos comunicacionales necesarios para fortalecer los recursos locales y lograr una respuesta oportuna, coordinada, profesional y responsable en el sistema de emergencias.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07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Coordinadores, directores, responsables de la Defensa Civil de los municipios, quienes tienen la responsabilidad de organizar el sistema de emergencias comunal, y personal de las instituciones que forman el sistema de respuesta a emergencias local (bomberos, policía, salud, asistencia social, inspectores municipales, etc.).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bimodal.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2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07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inicia: agosto y noviembre.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máximo presencial de 30 asistentes y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 de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100 asistentes.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x9DBMR+uIiabIRsI8O4qAIYmpQ==">CgMxLjAyDmguMXg4YXIyZW84dXpiOAByITFYa0JFaVptTTRZM1pVdnVJTkd5SE1WMWJtZWFPS0I2Yg==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2025-05-05T19:44:00Z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